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C5" w:rsidRDefault="006D18C5" w:rsidP="006D18C5">
      <w:bookmarkStart w:id="0" w:name="_GoBack"/>
      <w:bookmarkEnd w:id="0"/>
      <w:r w:rsidRPr="006D18C5">
        <w:rPr>
          <w:noProof/>
        </w:rPr>
        <w:drawing>
          <wp:anchor distT="0" distB="0" distL="114300" distR="114300" simplePos="0" relativeHeight="251659264" behindDoc="1" locked="0" layoutInCell="1" allowOverlap="1" wp14:anchorId="09BBA8CE" wp14:editId="7F47A925">
            <wp:simplePos x="0" y="0"/>
            <wp:positionH relativeFrom="page">
              <wp:posOffset>256540</wp:posOffset>
            </wp:positionH>
            <wp:positionV relativeFrom="paragraph">
              <wp:posOffset>-652145</wp:posOffset>
            </wp:positionV>
            <wp:extent cx="1895475" cy="940412"/>
            <wp:effectExtent l="0" t="0" r="0" b="0"/>
            <wp:wrapNone/>
            <wp:docPr id="1" name="Image 1" descr="https://www.univ-perp.fr/medias/photo/upvd-logo-hori-rvb_1674658753569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v-perp.fr/medias/photo/upvd-logo-hori-rvb_1674658753569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E58" w:rsidRPr="00C75E58" w:rsidRDefault="00276076" w:rsidP="00C7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color w:val="DB670A"/>
          <w:spacing w:val="-2"/>
          <w:sz w:val="24"/>
          <w:szCs w:val="24"/>
        </w:rPr>
        <w:t>REMUNERATIO</w:t>
      </w:r>
      <w:r w:rsidR="00C75E58">
        <w:rPr>
          <w:b/>
          <w:color w:val="DB670A"/>
          <w:spacing w:val="-2"/>
          <w:sz w:val="24"/>
          <w:szCs w:val="24"/>
        </w:rPr>
        <w:t>N</w:t>
      </w:r>
    </w:p>
    <w:p w:rsidR="00C75E58" w:rsidRDefault="00C75E58" w:rsidP="00C4307E">
      <w:pPr>
        <w:pStyle w:val="Corpsdetexte"/>
        <w:spacing w:line="323" w:lineRule="exact"/>
        <w:ind w:left="149"/>
        <w:jc w:val="both"/>
        <w:rPr>
          <w:color w:val="446E79"/>
          <w:w w:val="105"/>
          <w:sz w:val="24"/>
          <w:szCs w:val="24"/>
        </w:rPr>
      </w:pPr>
    </w:p>
    <w:p w:rsidR="00C4307E" w:rsidRPr="00C4307E" w:rsidRDefault="00C75E58" w:rsidP="00C4307E">
      <w:pPr>
        <w:pStyle w:val="Corpsdetexte"/>
        <w:spacing w:line="323" w:lineRule="exact"/>
        <w:ind w:left="149"/>
        <w:jc w:val="both"/>
        <w:rPr>
          <w:b/>
          <w:color w:val="446E79"/>
          <w:w w:val="105"/>
          <w:sz w:val="24"/>
          <w:szCs w:val="24"/>
        </w:rPr>
      </w:pPr>
      <w:r w:rsidRPr="00C75E58">
        <w:rPr>
          <w:noProof/>
        </w:rPr>
        <w:drawing>
          <wp:anchor distT="0" distB="0" distL="114300" distR="114300" simplePos="0" relativeHeight="251660288" behindDoc="1" locked="0" layoutInCell="1" allowOverlap="1" wp14:anchorId="5737C13F">
            <wp:simplePos x="0" y="0"/>
            <wp:positionH relativeFrom="column">
              <wp:posOffset>-121285</wp:posOffset>
            </wp:positionH>
            <wp:positionV relativeFrom="paragraph">
              <wp:posOffset>347875</wp:posOffset>
            </wp:positionV>
            <wp:extent cx="6648450" cy="31121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076">
        <w:rPr>
          <w:color w:val="446E79"/>
          <w:w w:val="105"/>
          <w:sz w:val="24"/>
          <w:szCs w:val="24"/>
        </w:rPr>
        <w:t xml:space="preserve">Pour les moins de 26 ans, la rémunération est équivalente à un pourcentage du SMIC en </w:t>
      </w:r>
      <w:r w:rsidR="00276076" w:rsidRPr="00633160">
        <w:rPr>
          <w:b/>
          <w:color w:val="446E79"/>
          <w:w w:val="105"/>
          <w:sz w:val="24"/>
          <w:szCs w:val="24"/>
        </w:rPr>
        <w:t>fonction de l’âge et du niveau de l’apprenti(e)</w:t>
      </w:r>
      <w:r w:rsidR="00BF62A0">
        <w:rPr>
          <w:b/>
          <w:color w:val="446E79"/>
          <w:w w:val="105"/>
          <w:sz w:val="24"/>
          <w:szCs w:val="24"/>
        </w:rPr>
        <w:t> :</w:t>
      </w:r>
    </w:p>
    <w:p w:rsidR="00276076" w:rsidRDefault="00276076" w:rsidP="006D18C5">
      <w:pPr>
        <w:pStyle w:val="Corpsdetexte"/>
        <w:spacing w:line="323" w:lineRule="exact"/>
        <w:ind w:left="149"/>
        <w:rPr>
          <w:color w:val="446E79"/>
          <w:w w:val="105"/>
          <w:sz w:val="24"/>
          <w:szCs w:val="24"/>
        </w:rPr>
      </w:pPr>
    </w:p>
    <w:p w:rsidR="00276076" w:rsidRDefault="00276076" w:rsidP="008C132C">
      <w:pPr>
        <w:pStyle w:val="Corpsdetexte"/>
        <w:spacing w:line="323" w:lineRule="exact"/>
        <w:rPr>
          <w:color w:val="446E79"/>
          <w:w w:val="105"/>
          <w:sz w:val="24"/>
          <w:szCs w:val="24"/>
        </w:rPr>
      </w:pPr>
    </w:p>
    <w:p w:rsidR="006D18C5" w:rsidRDefault="006D18C5" w:rsidP="006D18C5"/>
    <w:p w:rsidR="00C75E58" w:rsidRDefault="00C75E58" w:rsidP="006D18C5"/>
    <w:p w:rsidR="00C75E58" w:rsidRDefault="00C75E58" w:rsidP="006D18C5"/>
    <w:p w:rsidR="00C75E58" w:rsidRDefault="00C75E58" w:rsidP="006D18C5"/>
    <w:p w:rsidR="00C75E58" w:rsidRDefault="00C75E58" w:rsidP="006D18C5"/>
    <w:p w:rsidR="00C75E58" w:rsidRDefault="00C75E58" w:rsidP="006D18C5"/>
    <w:p w:rsidR="00C75E58" w:rsidRDefault="00C75E58" w:rsidP="006D18C5"/>
    <w:p w:rsidR="00C75E58" w:rsidRDefault="00C75E58" w:rsidP="006D18C5"/>
    <w:p w:rsidR="00C75E58" w:rsidRDefault="00C75E58" w:rsidP="006D18C5"/>
    <w:p w:rsidR="00C75E58" w:rsidRDefault="00C75E58" w:rsidP="006D18C5"/>
    <w:p w:rsidR="00C75E58" w:rsidRDefault="00C75E58" w:rsidP="006D18C5"/>
    <w:p w:rsidR="00C75E58" w:rsidRDefault="00C75E58" w:rsidP="006D18C5"/>
    <w:p w:rsidR="00C75E58" w:rsidRDefault="00C75E58" w:rsidP="006D18C5"/>
    <w:p w:rsidR="00C75E58" w:rsidRDefault="00C75E58" w:rsidP="006D18C5"/>
    <w:p w:rsidR="00C75E58" w:rsidRDefault="00C75E58" w:rsidP="006D18C5"/>
    <w:p w:rsidR="00C75E58" w:rsidRDefault="00C75E58" w:rsidP="006D18C5"/>
    <w:p w:rsidR="006D18C5" w:rsidRDefault="00276076" w:rsidP="00CC3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DB670A"/>
          <w:sz w:val="24"/>
          <w:szCs w:val="24"/>
        </w:rPr>
      </w:pPr>
      <w:r>
        <w:rPr>
          <w:b/>
          <w:color w:val="DB670A"/>
          <w:sz w:val="24"/>
          <w:szCs w:val="24"/>
        </w:rPr>
        <w:t>EXONERATION DES CHARGES SOCIALES</w:t>
      </w:r>
    </w:p>
    <w:p w:rsidR="003B57D8" w:rsidRDefault="003B57D8" w:rsidP="003B57D8">
      <w:pPr>
        <w:pStyle w:val="Corpsdetexte"/>
        <w:rPr>
          <w:color w:val="446E79"/>
          <w:w w:val="105"/>
          <w:sz w:val="24"/>
          <w:szCs w:val="24"/>
        </w:rPr>
      </w:pPr>
    </w:p>
    <w:p w:rsidR="00694462" w:rsidRPr="00694462" w:rsidRDefault="00694462" w:rsidP="00633160">
      <w:pPr>
        <w:pStyle w:val="Corpsdetexte"/>
        <w:jc w:val="both"/>
        <w:rPr>
          <w:color w:val="446E79"/>
          <w:w w:val="105"/>
          <w:sz w:val="24"/>
          <w:szCs w:val="24"/>
        </w:rPr>
      </w:pPr>
      <w:r w:rsidRPr="00694462">
        <w:rPr>
          <w:color w:val="446E79"/>
          <w:w w:val="105"/>
          <w:sz w:val="24"/>
          <w:szCs w:val="24"/>
        </w:rPr>
        <w:t>Pendant toute la durée du contrat, l’employeur est exonéré des charges sociales sauf :</w:t>
      </w:r>
    </w:p>
    <w:p w:rsidR="00694462" w:rsidRPr="00694462" w:rsidRDefault="00694462" w:rsidP="00633160">
      <w:pPr>
        <w:pStyle w:val="Corpsdetexte"/>
        <w:numPr>
          <w:ilvl w:val="0"/>
          <w:numId w:val="5"/>
        </w:numPr>
        <w:jc w:val="both"/>
        <w:rPr>
          <w:color w:val="446E79"/>
          <w:w w:val="105"/>
          <w:sz w:val="24"/>
          <w:szCs w:val="24"/>
        </w:rPr>
      </w:pPr>
      <w:r w:rsidRPr="00694462">
        <w:rPr>
          <w:color w:val="446E79"/>
          <w:w w:val="105"/>
          <w:sz w:val="24"/>
          <w:szCs w:val="24"/>
        </w:rPr>
        <w:t>De la cotisation patronale d’accidents du travail et maladie professionnelle ;</w:t>
      </w:r>
    </w:p>
    <w:p w:rsidR="00694462" w:rsidRPr="00694462" w:rsidRDefault="00694462" w:rsidP="00633160">
      <w:pPr>
        <w:pStyle w:val="Corpsdetexte"/>
        <w:numPr>
          <w:ilvl w:val="0"/>
          <w:numId w:val="5"/>
        </w:numPr>
        <w:jc w:val="both"/>
        <w:rPr>
          <w:color w:val="446E79"/>
          <w:w w:val="105"/>
          <w:sz w:val="24"/>
          <w:szCs w:val="24"/>
        </w:rPr>
      </w:pPr>
      <w:r w:rsidRPr="00694462">
        <w:rPr>
          <w:color w:val="446E79"/>
          <w:w w:val="105"/>
          <w:sz w:val="24"/>
          <w:szCs w:val="24"/>
        </w:rPr>
        <w:t>Certaines cotisations prévues par des conventions collectives ;</w:t>
      </w:r>
    </w:p>
    <w:p w:rsidR="00694462" w:rsidRPr="00694462" w:rsidRDefault="00694462" w:rsidP="00633160">
      <w:pPr>
        <w:pStyle w:val="Corpsdetexte"/>
        <w:numPr>
          <w:ilvl w:val="0"/>
          <w:numId w:val="5"/>
        </w:numPr>
        <w:jc w:val="both"/>
        <w:rPr>
          <w:color w:val="446E79"/>
          <w:w w:val="105"/>
          <w:sz w:val="24"/>
          <w:szCs w:val="24"/>
        </w:rPr>
      </w:pPr>
      <w:r w:rsidRPr="00694462">
        <w:rPr>
          <w:color w:val="446E79"/>
          <w:w w:val="105"/>
          <w:sz w:val="24"/>
          <w:szCs w:val="24"/>
        </w:rPr>
        <w:t>La CSG et la CRDS ne sont pas dues par l’apprenti.</w:t>
      </w:r>
    </w:p>
    <w:p w:rsidR="00694462" w:rsidRDefault="00694462" w:rsidP="00694462">
      <w:pPr>
        <w:pStyle w:val="Corpsdetexte"/>
        <w:rPr>
          <w:sz w:val="20"/>
        </w:rPr>
      </w:pPr>
    </w:p>
    <w:p w:rsidR="00694462" w:rsidRPr="00633160" w:rsidRDefault="00694462" w:rsidP="00633160">
      <w:pPr>
        <w:pStyle w:val="Titre2"/>
        <w:spacing w:before="13"/>
        <w:jc w:val="both"/>
        <w:rPr>
          <w:bCs w:val="0"/>
          <w:color w:val="ED7D31" w:themeColor="accent2"/>
          <w:w w:val="105"/>
          <w:sz w:val="20"/>
          <w:szCs w:val="20"/>
        </w:rPr>
      </w:pPr>
      <w:r w:rsidRPr="00633160">
        <w:rPr>
          <w:bCs w:val="0"/>
          <w:color w:val="ED7D31" w:themeColor="accent2"/>
          <w:w w:val="105"/>
          <w:sz w:val="20"/>
          <w:szCs w:val="20"/>
        </w:rPr>
        <w:t>Nota</w:t>
      </w:r>
      <w:r w:rsidR="00BF62A0">
        <w:rPr>
          <w:bCs w:val="0"/>
          <w:color w:val="ED7D31" w:themeColor="accent2"/>
          <w:w w:val="105"/>
          <w:sz w:val="20"/>
          <w:szCs w:val="20"/>
        </w:rPr>
        <w:t> :</w:t>
      </w:r>
      <w:r w:rsidRPr="00633160">
        <w:rPr>
          <w:bCs w:val="0"/>
          <w:color w:val="ED7D31" w:themeColor="accent2"/>
          <w:w w:val="105"/>
          <w:sz w:val="20"/>
          <w:szCs w:val="20"/>
        </w:rPr>
        <w:t xml:space="preserve"> aucune charge n’étant déduite du salaire brut de l’apprenti, le salaire brut équivalut au net versé à l’apprenti.</w:t>
      </w:r>
    </w:p>
    <w:p w:rsidR="00694462" w:rsidRPr="00633160" w:rsidRDefault="00694462" w:rsidP="00633160">
      <w:pPr>
        <w:pStyle w:val="Titre2"/>
        <w:spacing w:before="13"/>
        <w:jc w:val="both"/>
        <w:rPr>
          <w:bCs w:val="0"/>
          <w:color w:val="ED7D31" w:themeColor="accent2"/>
          <w:w w:val="105"/>
          <w:sz w:val="20"/>
          <w:szCs w:val="20"/>
        </w:rPr>
      </w:pPr>
      <w:r w:rsidRPr="00633160">
        <w:rPr>
          <w:bCs w:val="0"/>
          <w:color w:val="ED7D31" w:themeColor="accent2"/>
          <w:w w:val="105"/>
          <w:sz w:val="20"/>
          <w:szCs w:val="20"/>
        </w:rPr>
        <w:t>Seule une éventuelle participation aux frais de mutuelle santé pourra être déduite du salaire brut.</w:t>
      </w:r>
    </w:p>
    <w:p w:rsidR="00937944" w:rsidRDefault="00937944" w:rsidP="006D18C5"/>
    <w:p w:rsidR="00937944" w:rsidRDefault="00937944" w:rsidP="006D18C5"/>
    <w:p w:rsidR="006D18C5" w:rsidRPr="00603119" w:rsidRDefault="00276076" w:rsidP="00CC3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7" w:lineRule="exact"/>
        <w:rPr>
          <w:b/>
          <w:sz w:val="24"/>
          <w:szCs w:val="24"/>
        </w:rPr>
      </w:pPr>
      <w:r>
        <w:rPr>
          <w:b/>
          <w:color w:val="DB670A"/>
          <w:sz w:val="24"/>
          <w:szCs w:val="24"/>
        </w:rPr>
        <w:t>L’AIDE A L’EM</w:t>
      </w:r>
      <w:r w:rsidR="00694462">
        <w:rPr>
          <w:b/>
          <w:color w:val="DB670A"/>
          <w:sz w:val="24"/>
          <w:szCs w:val="24"/>
        </w:rPr>
        <w:t>BA</w:t>
      </w:r>
      <w:r>
        <w:rPr>
          <w:b/>
          <w:color w:val="DB670A"/>
          <w:sz w:val="24"/>
          <w:szCs w:val="24"/>
        </w:rPr>
        <w:t>UCHE D’UN APPRENTI</w:t>
      </w:r>
    </w:p>
    <w:p w:rsidR="006D18C5" w:rsidRDefault="006D18C5" w:rsidP="006D18C5"/>
    <w:p w:rsidR="00276076" w:rsidRPr="00694462" w:rsidRDefault="00276076" w:rsidP="00694462">
      <w:pPr>
        <w:pStyle w:val="Corpsdetexte"/>
        <w:spacing w:line="366" w:lineRule="exact"/>
        <w:rPr>
          <w:b/>
          <w:color w:val="446E79"/>
          <w:w w:val="105"/>
          <w:sz w:val="24"/>
          <w:szCs w:val="24"/>
          <w:u w:val="single"/>
        </w:rPr>
      </w:pPr>
      <w:r w:rsidRPr="00694462">
        <w:rPr>
          <w:b/>
          <w:color w:val="446E79"/>
          <w:w w:val="105"/>
          <w:sz w:val="24"/>
          <w:szCs w:val="24"/>
          <w:u w:val="single"/>
        </w:rPr>
        <w:t>Employeur du secteur privé</w:t>
      </w:r>
    </w:p>
    <w:p w:rsidR="00276076" w:rsidRDefault="00276076" w:rsidP="00276076"/>
    <w:p w:rsidR="00276076" w:rsidRPr="00694462" w:rsidRDefault="00276076" w:rsidP="00BF62A0">
      <w:pPr>
        <w:jc w:val="both"/>
        <w:rPr>
          <w:color w:val="446E79"/>
          <w:w w:val="105"/>
          <w:sz w:val="24"/>
          <w:szCs w:val="24"/>
        </w:rPr>
      </w:pPr>
      <w:r w:rsidRPr="00694462">
        <w:rPr>
          <w:color w:val="446E79"/>
          <w:w w:val="105"/>
          <w:sz w:val="24"/>
          <w:szCs w:val="24"/>
        </w:rPr>
        <w:t>Pour un contrat d’apprentissage une aide à l’embauche est accordée de 6000 euros pour les moins de 30 ans sur 12 mois. Elle est versée mensuellement par virement à l’employeur par l’organisme ASP. C’est l’OPCO qui instruit la demande auprès de l’ASP.</w:t>
      </w:r>
    </w:p>
    <w:p w:rsidR="00276076" w:rsidRPr="00633160" w:rsidRDefault="00694462" w:rsidP="00694462">
      <w:pPr>
        <w:pStyle w:val="Titre2"/>
        <w:spacing w:before="13"/>
        <w:rPr>
          <w:bCs w:val="0"/>
          <w:color w:val="ED7D31" w:themeColor="accent2"/>
          <w:w w:val="105"/>
          <w:sz w:val="20"/>
          <w:szCs w:val="20"/>
        </w:rPr>
      </w:pPr>
      <w:r w:rsidRPr="00633160">
        <w:rPr>
          <w:bCs w:val="0"/>
          <w:color w:val="ED7D31" w:themeColor="accent2"/>
          <w:w w:val="105"/>
          <w:sz w:val="20"/>
          <w:szCs w:val="20"/>
        </w:rPr>
        <w:t>Exemple : 6000€ sur 12 mois, soit 500€/mois</w:t>
      </w:r>
    </w:p>
    <w:p w:rsidR="00694462" w:rsidRDefault="00694462" w:rsidP="00694462"/>
    <w:p w:rsidR="00694462" w:rsidRPr="00694462" w:rsidRDefault="00694462" w:rsidP="00694462">
      <w:pPr>
        <w:pStyle w:val="Corpsdetexte"/>
        <w:spacing w:line="366" w:lineRule="exact"/>
        <w:rPr>
          <w:b/>
          <w:color w:val="446E79"/>
          <w:w w:val="105"/>
          <w:sz w:val="24"/>
          <w:szCs w:val="24"/>
          <w:u w:val="single"/>
        </w:rPr>
      </w:pPr>
      <w:r w:rsidRPr="00694462">
        <w:rPr>
          <w:b/>
          <w:color w:val="446E79"/>
          <w:w w:val="105"/>
          <w:sz w:val="24"/>
          <w:szCs w:val="24"/>
          <w:u w:val="single"/>
        </w:rPr>
        <w:t>Employeur public</w:t>
      </w:r>
    </w:p>
    <w:p w:rsidR="00694462" w:rsidRDefault="00694462" w:rsidP="00694462">
      <w:pPr>
        <w:ind w:left="360"/>
      </w:pPr>
    </w:p>
    <w:p w:rsidR="00694462" w:rsidRPr="00694462" w:rsidRDefault="00694462" w:rsidP="00BF62A0">
      <w:pPr>
        <w:jc w:val="both"/>
        <w:rPr>
          <w:color w:val="446E79"/>
          <w:w w:val="105"/>
          <w:sz w:val="24"/>
          <w:szCs w:val="24"/>
        </w:rPr>
      </w:pPr>
      <w:r w:rsidRPr="00694462">
        <w:rPr>
          <w:color w:val="446E79"/>
          <w:w w:val="105"/>
          <w:sz w:val="24"/>
          <w:szCs w:val="24"/>
        </w:rPr>
        <w:t xml:space="preserve">Aucune aide n’est accordée aux structures relevant des Fonctions Publiques d’Etat et Hospitalière. Les structures relevant de la Fonction Publique Territoriale (Commune, Com </w:t>
      </w:r>
      <w:proofErr w:type="spellStart"/>
      <w:r w:rsidRPr="00694462">
        <w:rPr>
          <w:color w:val="446E79"/>
          <w:w w:val="105"/>
          <w:sz w:val="24"/>
          <w:szCs w:val="24"/>
        </w:rPr>
        <w:t>Com</w:t>
      </w:r>
      <w:proofErr w:type="spellEnd"/>
      <w:r w:rsidRPr="00694462">
        <w:rPr>
          <w:color w:val="446E79"/>
          <w:w w:val="105"/>
          <w:sz w:val="24"/>
          <w:szCs w:val="24"/>
        </w:rPr>
        <w:t>, Com d’Agglo, Conseil départemental, région, …) bénéficient d’une aide à la participation des frais de formation à hauteur de 100%.</w:t>
      </w:r>
    </w:p>
    <w:p w:rsidR="00694462" w:rsidRPr="00633160" w:rsidRDefault="00694462" w:rsidP="00694462">
      <w:pPr>
        <w:pStyle w:val="Titre2"/>
        <w:spacing w:before="13"/>
        <w:rPr>
          <w:bCs w:val="0"/>
          <w:color w:val="ED7D31" w:themeColor="accent2"/>
          <w:w w:val="105"/>
          <w:sz w:val="20"/>
          <w:szCs w:val="20"/>
        </w:rPr>
      </w:pPr>
      <w:r w:rsidRPr="00633160">
        <w:rPr>
          <w:bCs w:val="0"/>
          <w:color w:val="ED7D31" w:themeColor="accent2"/>
          <w:w w:val="105"/>
          <w:sz w:val="20"/>
          <w:szCs w:val="20"/>
        </w:rPr>
        <w:t>Nota : Les Chambres de commerce, d’Agriculture, des métiers relèvent de la Fonction Publique d’Etat et ne perçoivent donc pas d’aides.</w:t>
      </w:r>
    </w:p>
    <w:sectPr w:rsidR="00694462" w:rsidRPr="00633160">
      <w:headerReference w:type="default" r:id="rId10"/>
      <w:footerReference w:type="default" r:id="rId11"/>
      <w:type w:val="continuous"/>
      <w:pgSz w:w="11910" w:h="16840"/>
      <w:pgMar w:top="1060" w:right="5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8C5" w:rsidRDefault="006D18C5" w:rsidP="006D18C5">
      <w:r>
        <w:separator/>
      </w:r>
    </w:p>
  </w:endnote>
  <w:endnote w:type="continuationSeparator" w:id="0">
    <w:p w:rsidR="006D18C5" w:rsidRDefault="006D18C5" w:rsidP="006D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076" w:rsidRPr="00276076" w:rsidRDefault="00276076" w:rsidP="00276076">
    <w:pPr>
      <w:pStyle w:val="Pieddepage"/>
      <w:jc w:val="right"/>
      <w:rPr>
        <w:i/>
        <w:color w:val="C45911" w:themeColor="accent2" w:themeShade="BF"/>
      </w:rPr>
    </w:pPr>
    <w:bookmarkStart w:id="1" w:name="_Hlk125980881"/>
    <w:bookmarkStart w:id="2" w:name="_Hlk125980882"/>
    <w:r w:rsidRPr="00276076">
      <w:rPr>
        <w:i/>
        <w:color w:val="C45911" w:themeColor="accent2" w:themeShade="BF"/>
      </w:rPr>
      <w:t>Document communiqué à titre d’information. Le SFC-A UPVD décline sa responsabilité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8C5" w:rsidRDefault="006D18C5" w:rsidP="006D18C5">
      <w:r>
        <w:separator/>
      </w:r>
    </w:p>
  </w:footnote>
  <w:footnote w:type="continuationSeparator" w:id="0">
    <w:p w:rsidR="006D18C5" w:rsidRDefault="006D18C5" w:rsidP="006D1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8C5" w:rsidRPr="00633160" w:rsidRDefault="00061FBF" w:rsidP="00694462">
    <w:pPr>
      <w:jc w:val="center"/>
      <w:rPr>
        <w:rStyle w:val="Rfrenceintense"/>
        <w:color w:val="336699"/>
        <w:sz w:val="28"/>
        <w:szCs w:val="28"/>
        <w:u w:val="single"/>
      </w:rPr>
    </w:pPr>
    <w:r w:rsidRPr="00633160">
      <w:rPr>
        <w:rStyle w:val="Rfrenceintense"/>
        <w:color w:val="336699"/>
        <w:sz w:val="28"/>
        <w:szCs w:val="28"/>
        <w:u w:val="single"/>
      </w:rPr>
      <w:t xml:space="preserve">AIDES FINANCIERES POUR </w:t>
    </w:r>
    <w:r w:rsidR="00276076" w:rsidRPr="00633160">
      <w:rPr>
        <w:rStyle w:val="Rfrenceintense"/>
        <w:color w:val="336699"/>
        <w:sz w:val="28"/>
        <w:szCs w:val="28"/>
        <w:u w:val="single"/>
      </w:rPr>
      <w:t>L’EMPLOYEUR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7296B"/>
    <w:multiLevelType w:val="multilevel"/>
    <w:tmpl w:val="70CA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7321B"/>
    <w:multiLevelType w:val="hybridMultilevel"/>
    <w:tmpl w:val="A8369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C46A1"/>
    <w:multiLevelType w:val="hybridMultilevel"/>
    <w:tmpl w:val="9DC2C2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570A5"/>
    <w:multiLevelType w:val="hybridMultilevel"/>
    <w:tmpl w:val="6172D542"/>
    <w:lvl w:ilvl="0" w:tplc="E41C9FDA">
      <w:numFmt w:val="bullet"/>
      <w:lvlText w:val="•"/>
      <w:lvlJc w:val="left"/>
      <w:pPr>
        <w:ind w:left="969" w:hanging="107"/>
      </w:pPr>
      <w:rPr>
        <w:rFonts w:ascii="Arial" w:eastAsia="Arial" w:hAnsi="Arial" w:cs="Arial" w:hint="default"/>
        <w:w w:val="114"/>
        <w:lang w:val="fr-FR" w:eastAsia="en-US" w:bidi="ar-SA"/>
      </w:rPr>
    </w:lvl>
    <w:lvl w:ilvl="1" w:tplc="01A43818">
      <w:numFmt w:val="bullet"/>
      <w:lvlText w:val="•"/>
      <w:lvlJc w:val="left"/>
      <w:pPr>
        <w:ind w:left="1910" w:hanging="107"/>
      </w:pPr>
      <w:rPr>
        <w:rFonts w:hint="default"/>
        <w:lang w:val="fr-FR" w:eastAsia="en-US" w:bidi="ar-SA"/>
      </w:rPr>
    </w:lvl>
    <w:lvl w:ilvl="2" w:tplc="62966944">
      <w:numFmt w:val="bullet"/>
      <w:lvlText w:val="•"/>
      <w:lvlJc w:val="left"/>
      <w:pPr>
        <w:ind w:left="2861" w:hanging="107"/>
      </w:pPr>
      <w:rPr>
        <w:rFonts w:hint="default"/>
        <w:lang w:val="fr-FR" w:eastAsia="en-US" w:bidi="ar-SA"/>
      </w:rPr>
    </w:lvl>
    <w:lvl w:ilvl="3" w:tplc="BA1C33E4">
      <w:numFmt w:val="bullet"/>
      <w:lvlText w:val="•"/>
      <w:lvlJc w:val="left"/>
      <w:pPr>
        <w:ind w:left="3811" w:hanging="107"/>
      </w:pPr>
      <w:rPr>
        <w:rFonts w:hint="default"/>
        <w:lang w:val="fr-FR" w:eastAsia="en-US" w:bidi="ar-SA"/>
      </w:rPr>
    </w:lvl>
    <w:lvl w:ilvl="4" w:tplc="1A2C894E">
      <w:numFmt w:val="bullet"/>
      <w:lvlText w:val="•"/>
      <w:lvlJc w:val="left"/>
      <w:pPr>
        <w:ind w:left="4762" w:hanging="107"/>
      </w:pPr>
      <w:rPr>
        <w:rFonts w:hint="default"/>
        <w:lang w:val="fr-FR" w:eastAsia="en-US" w:bidi="ar-SA"/>
      </w:rPr>
    </w:lvl>
    <w:lvl w:ilvl="5" w:tplc="08A29D96">
      <w:numFmt w:val="bullet"/>
      <w:lvlText w:val="•"/>
      <w:lvlJc w:val="left"/>
      <w:pPr>
        <w:ind w:left="5712" w:hanging="107"/>
      </w:pPr>
      <w:rPr>
        <w:rFonts w:hint="default"/>
        <w:lang w:val="fr-FR" w:eastAsia="en-US" w:bidi="ar-SA"/>
      </w:rPr>
    </w:lvl>
    <w:lvl w:ilvl="6" w:tplc="F82A09C4">
      <w:numFmt w:val="bullet"/>
      <w:lvlText w:val="•"/>
      <w:lvlJc w:val="left"/>
      <w:pPr>
        <w:ind w:left="6663" w:hanging="107"/>
      </w:pPr>
      <w:rPr>
        <w:rFonts w:hint="default"/>
        <w:lang w:val="fr-FR" w:eastAsia="en-US" w:bidi="ar-SA"/>
      </w:rPr>
    </w:lvl>
    <w:lvl w:ilvl="7" w:tplc="EA9E4F06">
      <w:numFmt w:val="bullet"/>
      <w:lvlText w:val="•"/>
      <w:lvlJc w:val="left"/>
      <w:pPr>
        <w:ind w:left="7613" w:hanging="107"/>
      </w:pPr>
      <w:rPr>
        <w:rFonts w:hint="default"/>
        <w:lang w:val="fr-FR" w:eastAsia="en-US" w:bidi="ar-SA"/>
      </w:rPr>
    </w:lvl>
    <w:lvl w:ilvl="8" w:tplc="FE220104">
      <w:numFmt w:val="bullet"/>
      <w:lvlText w:val="•"/>
      <w:lvlJc w:val="left"/>
      <w:pPr>
        <w:ind w:left="8564" w:hanging="107"/>
      </w:pPr>
      <w:rPr>
        <w:rFonts w:hint="default"/>
        <w:lang w:val="fr-FR" w:eastAsia="en-US" w:bidi="ar-SA"/>
      </w:rPr>
    </w:lvl>
  </w:abstractNum>
  <w:abstractNum w:abstractNumId="4" w15:restartNumberingAfterBreak="0">
    <w:nsid w:val="6048070B"/>
    <w:multiLevelType w:val="hybridMultilevel"/>
    <w:tmpl w:val="1CA40D0E"/>
    <w:lvl w:ilvl="0" w:tplc="E4D43A90">
      <w:start w:val="1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C5"/>
    <w:rsid w:val="00061FBF"/>
    <w:rsid w:val="00206F00"/>
    <w:rsid w:val="00220AF3"/>
    <w:rsid w:val="00276076"/>
    <w:rsid w:val="003B57D8"/>
    <w:rsid w:val="005D4DBA"/>
    <w:rsid w:val="00633160"/>
    <w:rsid w:val="00694462"/>
    <w:rsid w:val="006D18C5"/>
    <w:rsid w:val="008C132C"/>
    <w:rsid w:val="00937944"/>
    <w:rsid w:val="00AA0062"/>
    <w:rsid w:val="00BF62A0"/>
    <w:rsid w:val="00C11F72"/>
    <w:rsid w:val="00C4307E"/>
    <w:rsid w:val="00C75E58"/>
    <w:rsid w:val="00CC17B2"/>
    <w:rsid w:val="00CC3F03"/>
    <w:rsid w:val="00DA2F95"/>
    <w:rsid w:val="00EF33FD"/>
    <w:rsid w:val="00FA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76FAFAF-D317-4EE1-8CCF-9FE8859C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8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9"/>
    <w:qFormat/>
    <w:rsid w:val="003B57D8"/>
    <w:pPr>
      <w:outlineLvl w:val="0"/>
    </w:pPr>
    <w:rPr>
      <w:sz w:val="23"/>
      <w:szCs w:val="23"/>
    </w:rPr>
  </w:style>
  <w:style w:type="paragraph" w:styleId="Titre2">
    <w:name w:val="heading 2"/>
    <w:basedOn w:val="Normal"/>
    <w:link w:val="Titre2Car"/>
    <w:uiPriority w:val="9"/>
    <w:unhideWhenUsed/>
    <w:qFormat/>
    <w:rsid w:val="003B57D8"/>
    <w:pPr>
      <w:spacing w:before="5"/>
      <w:ind w:left="156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D18C5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6D18C5"/>
    <w:rPr>
      <w:rFonts w:ascii="Arial" w:eastAsia="Arial" w:hAnsi="Arial" w:cs="Arial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D18C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D18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18C5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6D18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18C5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6D18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D18C5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3B57D8"/>
    <w:rPr>
      <w:rFonts w:ascii="Arial" w:eastAsia="Arial" w:hAnsi="Arial" w:cs="Arial"/>
      <w:sz w:val="23"/>
      <w:szCs w:val="23"/>
    </w:rPr>
  </w:style>
  <w:style w:type="character" w:customStyle="1" w:styleId="Titre2Car">
    <w:name w:val="Titre 2 Car"/>
    <w:basedOn w:val="Policepardfaut"/>
    <w:link w:val="Titre2"/>
    <w:uiPriority w:val="9"/>
    <w:rsid w:val="003B57D8"/>
    <w:rPr>
      <w:rFonts w:ascii="Arial" w:eastAsia="Arial" w:hAnsi="Arial" w:cs="Arial"/>
      <w:b/>
      <w:bCs/>
      <w:sz w:val="18"/>
      <w:szCs w:val="18"/>
    </w:rPr>
  </w:style>
  <w:style w:type="character" w:customStyle="1" w:styleId="sp-prix">
    <w:name w:val="sp-prix"/>
    <w:basedOn w:val="Policepardfaut"/>
    <w:rsid w:val="00CC17B2"/>
  </w:style>
  <w:style w:type="paragraph" w:styleId="Textedebulles">
    <w:name w:val="Balloon Text"/>
    <w:basedOn w:val="Normal"/>
    <w:link w:val="TextedebullesCar"/>
    <w:uiPriority w:val="99"/>
    <w:semiHidden/>
    <w:unhideWhenUsed/>
    <w:rsid w:val="00DA2F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95"/>
    <w:rPr>
      <w:rFonts w:ascii="Segoe UI" w:eastAsia="Arial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06F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206F00"/>
    <w:pPr>
      <w:ind w:left="970" w:hanging="108"/>
    </w:pPr>
  </w:style>
  <w:style w:type="character" w:styleId="Rfrenceintense">
    <w:name w:val="Intense Reference"/>
    <w:basedOn w:val="Policepardfaut"/>
    <w:uiPriority w:val="32"/>
    <w:qFormat/>
    <w:rsid w:val="00694462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715D-1F08-473A-AE5C-BAC5E2E7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Gars Marie</dc:creator>
  <cp:keywords/>
  <dc:description/>
  <cp:lastModifiedBy>Le Gars Marie</cp:lastModifiedBy>
  <cp:revision>2</cp:revision>
  <cp:lastPrinted>2024-02-20T10:04:00Z</cp:lastPrinted>
  <dcterms:created xsi:type="dcterms:W3CDTF">2024-02-20T10:04:00Z</dcterms:created>
  <dcterms:modified xsi:type="dcterms:W3CDTF">2024-02-20T10:04:00Z</dcterms:modified>
</cp:coreProperties>
</file>